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(Playable Ads Developer)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1. Creative팀의 역할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각 네트워크사에서 요구하는 영상 스펙에 맞추어 광고, 스토어영상/스크린샷을 제작합니다.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모바일 게임 퍼블리싱에 대한 꾸준히 관심을 가져 경쟁소재들을 벤치마킹하고 영상을 제작합니다.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경쟁소재들을 벤치마킹하여 최신 트렌드에 대한 아이디어를 도출해냅니다.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각 광고 채널별 크리에이티브 퍼포먼스를 비교/분석합니다. (Facebook, Google Adwords...)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소재에 대해 주기적인 효율 테스트를 진행하고 개선합니다.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비트망고가 운영하는 SNS채널에 대한 기획 및 운영을 하고 유저의 관심을 유도합니다.(Youtube, Facebook, Instagram…)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2. Playable Ads Developer 의 미션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비트망고가 서비스하는 게임을 html, javascript기술을 활용하여 playable광고로 개발합니다.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재사용 가능한 코드와 라이브러리를 개발하고 유지보수합니다.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A/B 광고 테스트를 수행합니다.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기존의 게임을 더 경량화된 버전으로 개발합니다.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광고 크리에이터가 제안하는 UI/UX 디자인을 기술적으로 구현합니다.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경쟁사의 playable ads를 벤치마크합니다.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